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3" w:rsidRPr="00BD2FEB" w:rsidRDefault="00EE39D3" w:rsidP="008136EC">
      <w:pPr>
        <w:jc w:val="center"/>
      </w:pPr>
    </w:p>
    <w:p w:rsidR="003C36F5" w:rsidRPr="00BD2FEB" w:rsidRDefault="003C36F5" w:rsidP="00A04C71">
      <w:pPr>
        <w:jc w:val="center"/>
      </w:pPr>
    </w:p>
    <w:p w:rsidR="003C36F5" w:rsidRPr="00BD2FEB" w:rsidRDefault="00BD2FEB">
      <w:pPr>
        <w:pStyle w:val="DecHTitle"/>
      </w:pPr>
      <w:r w:rsidRPr="00BD2FEB">
        <w:rPr>
          <w:szCs w:val="24"/>
        </w:rPr>
        <w:t>DEUXIÈME SECTION</w:t>
      </w:r>
    </w:p>
    <w:p w:rsidR="003C36F5" w:rsidRPr="00BD2FEB" w:rsidRDefault="0031317E" w:rsidP="00DC44E5">
      <w:pPr>
        <w:pStyle w:val="DecHTitle"/>
        <w:rPr>
          <w:caps/>
          <w:sz w:val="32"/>
        </w:rPr>
      </w:pPr>
      <w:r w:rsidRPr="00BD2FEB">
        <w:t>DÉCISION</w:t>
      </w:r>
    </w:p>
    <w:p w:rsidR="008E63DB" w:rsidRPr="00BD2FEB" w:rsidRDefault="00BD2FEB" w:rsidP="00DD2564">
      <w:pPr>
        <w:pStyle w:val="DecHCase"/>
      </w:pPr>
      <w:r w:rsidRPr="00BD2FEB">
        <w:t>Requête n</w:t>
      </w:r>
      <w:r w:rsidRPr="00BD2FEB">
        <w:rPr>
          <w:vertAlign w:val="superscript"/>
        </w:rPr>
        <w:t>o</w:t>
      </w:r>
      <w:r w:rsidR="000776E7" w:rsidRPr="00BD2FEB">
        <w:t xml:space="preserve"> </w:t>
      </w:r>
      <w:r w:rsidRPr="00BD2FEB">
        <w:t>13340/09</w:t>
      </w:r>
      <w:r w:rsidR="000776E7" w:rsidRPr="00BD2FEB">
        <w:br/>
      </w:r>
      <w:r w:rsidRPr="00BD2FEB">
        <w:t>Guiseppa VILLANI et Maria Grazia VILLANI</w:t>
      </w:r>
      <w:r w:rsidRPr="00BD2FEB">
        <w:br/>
      </w:r>
      <w:r w:rsidR="00A94C68" w:rsidRPr="00BD2FEB">
        <w:t xml:space="preserve">contre </w:t>
      </w:r>
      <w:r w:rsidRPr="00BD2FEB">
        <w:t>l</w:t>
      </w:r>
      <w:r w:rsidR="0049029B">
        <w:t>’</w:t>
      </w:r>
      <w:r w:rsidRPr="00BD2FEB">
        <w:t>Italie</w:t>
      </w:r>
    </w:p>
    <w:p w:rsidR="00BD2FEB" w:rsidRPr="00BD2FEB" w:rsidRDefault="00BD2FEB" w:rsidP="00BD2FEB">
      <w:pPr>
        <w:pStyle w:val="JuPara"/>
      </w:pPr>
      <w:r w:rsidRPr="00BD2FEB">
        <w:t>La Cour européenne des droits de l</w:t>
      </w:r>
      <w:r w:rsidR="0049029B">
        <w:t>’</w:t>
      </w:r>
      <w:r w:rsidRPr="00BD2FEB">
        <w:t>homme (deuxième section), siégeant le</w:t>
      </w:r>
      <w:r>
        <w:t xml:space="preserve"> 28 mai 2013 </w:t>
      </w:r>
      <w:r w:rsidRPr="00BD2FEB">
        <w:t>en une Chambre composée de :</w:t>
      </w:r>
    </w:p>
    <w:p w:rsidR="00BD2FEB" w:rsidRPr="00BD2FEB" w:rsidRDefault="00BD2FEB" w:rsidP="00BD2FEB">
      <w:pPr>
        <w:pStyle w:val="JuJudges"/>
      </w:pPr>
      <w:r>
        <w:tab/>
      </w:r>
      <w:r w:rsidRPr="00BD2FEB">
        <w:t xml:space="preserve">Danutė Jočienė, </w:t>
      </w:r>
      <w:r w:rsidRPr="00BD2FEB">
        <w:rPr>
          <w:i/>
        </w:rPr>
        <w:t>présidente</w:t>
      </w:r>
      <w:r w:rsidRPr="00BD2FEB">
        <w:t>,</w:t>
      </w:r>
      <w:r>
        <w:t xml:space="preserve"> </w:t>
      </w:r>
      <w:r w:rsidRPr="00BD2FEB">
        <w:br/>
      </w:r>
      <w:r w:rsidRPr="00BD2FEB">
        <w:tab/>
        <w:t>Guido Raimondi,</w:t>
      </w:r>
      <w:r>
        <w:t xml:space="preserve"> </w:t>
      </w:r>
      <w:r w:rsidRPr="00BD2FEB">
        <w:br/>
      </w:r>
      <w:r w:rsidRPr="00BD2FEB">
        <w:tab/>
        <w:t>Peer Lorenzen,</w:t>
      </w:r>
      <w:r>
        <w:t xml:space="preserve"> </w:t>
      </w:r>
      <w:r w:rsidRPr="00BD2FEB">
        <w:br/>
      </w:r>
      <w:r w:rsidRPr="00BD2FEB">
        <w:tab/>
        <w:t>Dragoljub Popović,</w:t>
      </w:r>
      <w:r>
        <w:t xml:space="preserve"> </w:t>
      </w:r>
      <w:r w:rsidRPr="00BD2FEB">
        <w:br/>
      </w:r>
      <w:r w:rsidRPr="00BD2FEB">
        <w:tab/>
        <w:t>Işıl Karakaş,</w:t>
      </w:r>
      <w:r>
        <w:t xml:space="preserve"> </w:t>
      </w:r>
      <w:r w:rsidRPr="00BD2FEB">
        <w:br/>
      </w:r>
      <w:r w:rsidRPr="00BD2FEB">
        <w:tab/>
        <w:t>Nebojša Vučinić,</w:t>
      </w:r>
      <w:r>
        <w:t xml:space="preserve"> </w:t>
      </w:r>
      <w:r w:rsidRPr="00BD2FEB">
        <w:br/>
      </w:r>
      <w:r w:rsidRPr="00BD2FEB">
        <w:tab/>
      </w:r>
      <w:r>
        <w:t xml:space="preserve">Paulo Pinto de Albuquerque, </w:t>
      </w:r>
      <w:r w:rsidRPr="00BD2FEB">
        <w:rPr>
          <w:i/>
        </w:rPr>
        <w:t>juges</w:t>
      </w:r>
      <w:r>
        <w:t xml:space="preserve">, </w:t>
      </w:r>
      <w:r>
        <w:br/>
      </w:r>
      <w:r w:rsidRPr="00BD2FEB">
        <w:t xml:space="preserve">et de Stanley Naismith, </w:t>
      </w:r>
      <w:r w:rsidRPr="00BD2FEB">
        <w:rPr>
          <w:i/>
        </w:rPr>
        <w:t>greffier</w:t>
      </w:r>
      <w:r w:rsidRPr="00BD2FEB">
        <w:rPr>
          <w:i/>
          <w:iCs/>
        </w:rPr>
        <w:t xml:space="preserve"> d</w:t>
      </w:r>
      <w:r w:rsidRPr="00BD2FEB">
        <w:rPr>
          <w:i/>
        </w:rPr>
        <w:t>e section,</w:t>
      </w:r>
    </w:p>
    <w:p w:rsidR="00BD2FEB" w:rsidRPr="00BD2FEB" w:rsidRDefault="00BD2FEB" w:rsidP="00BD2FEB">
      <w:pPr>
        <w:pStyle w:val="JuPara"/>
      </w:pPr>
      <w:r w:rsidRPr="00BD2FEB">
        <w:t>Vu la requête susmentionnée introduite le 26 février 2009,</w:t>
      </w:r>
    </w:p>
    <w:p w:rsidR="00BD2FEB" w:rsidRDefault="00BD2FEB" w:rsidP="00BD2FEB">
      <w:pPr>
        <w:pStyle w:val="JuPara"/>
      </w:pPr>
      <w:r w:rsidRPr="00BD2FEB">
        <w:t>Après en avoir délibéré, rend la décision suivante :</w:t>
      </w:r>
    </w:p>
    <w:p w:rsidR="00BD2FEB" w:rsidRPr="00BD2FEB" w:rsidRDefault="00BD2FEB" w:rsidP="00BD2FEB">
      <w:pPr>
        <w:pStyle w:val="JuHHead"/>
      </w:pPr>
      <w:r w:rsidRPr="00BD2FEB">
        <w:t>EN FAIT</w:t>
      </w:r>
    </w:p>
    <w:p w:rsidR="00BD2FEB" w:rsidRPr="00BD2FEB" w:rsidRDefault="00BD2FEB" w:rsidP="00BD2FEB">
      <w:pPr>
        <w:pStyle w:val="JuPara"/>
      </w:pPr>
      <w:r w:rsidRPr="00BD2FEB">
        <w:t>1.  Les requérantes, M</w:t>
      </w:r>
      <w:r w:rsidRPr="00BD2FEB">
        <w:rPr>
          <w:vertAlign w:val="superscript"/>
        </w:rPr>
        <w:t>me</w:t>
      </w:r>
      <w:r w:rsidRPr="00BD2FEB">
        <w:t xml:space="preserve"> Guiseppa Villani et M</w:t>
      </w:r>
      <w:r w:rsidRPr="00BD2FEB">
        <w:rPr>
          <w:vertAlign w:val="superscript"/>
        </w:rPr>
        <w:t>me</w:t>
      </w:r>
      <w:r w:rsidRPr="00BD2FEB">
        <w:t xml:space="preserve"> Maria Grazia Villani, sont des ressortissantes italiennes nées respectivement en 1949 et en 1943. Leur lieu de résidence n</w:t>
      </w:r>
      <w:r w:rsidR="0049029B">
        <w:t>’</w:t>
      </w:r>
      <w:r w:rsidRPr="00BD2FEB">
        <w:t>a pas été indiqué. Elles ont été représentées devant la Cour par M</w:t>
      </w:r>
      <w:r w:rsidRPr="00BD2FEB">
        <w:rPr>
          <w:vertAlign w:val="superscript"/>
        </w:rPr>
        <w:t>e</w:t>
      </w:r>
      <w:r w:rsidRPr="00BD2FEB">
        <w:t> G. Beatrice, avocat à Rome.</w:t>
      </w:r>
    </w:p>
    <w:p w:rsidR="00BD2FEB" w:rsidRPr="00BD2FEB" w:rsidRDefault="00BD2FEB" w:rsidP="00BD2FEB">
      <w:pPr>
        <w:pStyle w:val="JuPara"/>
      </w:pPr>
      <w:r w:rsidRPr="00BD2FEB">
        <w:t>2.  Les faits de la cause, tels qu</w:t>
      </w:r>
      <w:r w:rsidR="0049029B">
        <w:t>’</w:t>
      </w:r>
      <w:r w:rsidRPr="00BD2FEB">
        <w:t>ils ont été exposés par les requérantes, peuvent se résumer comme suit.</w:t>
      </w:r>
    </w:p>
    <w:p w:rsidR="00BD2FEB" w:rsidRDefault="00BD2FEB" w:rsidP="00BD2FEB">
      <w:pPr>
        <w:pStyle w:val="JuPara"/>
      </w:pPr>
      <w:r w:rsidRPr="00BD2FEB">
        <w:t>3.  Les requérantes sont les héritières de M. Pietro Villani, décédé le 13 juillet 2002. Elles héritèrent du défunt notamment deux créances (s</w:t>
      </w:r>
      <w:r w:rsidR="0049029B">
        <w:t>’</w:t>
      </w:r>
      <w:r w:rsidRPr="00BD2FEB">
        <w:t>élevant respectivement à environ 5 905 et 175 820 euros (EUR)) envers la mairie de Bénévent. Le 11 février 2002, M. Pietro Villani avait entamé, devant le tribunal de Bénévent, une procédure d</w:t>
      </w:r>
      <w:r w:rsidR="0049029B">
        <w:t>’</w:t>
      </w:r>
      <w:r w:rsidRPr="00BD2FEB">
        <w:t>exécution afin d</w:t>
      </w:r>
      <w:r w:rsidR="0049029B">
        <w:t>’</w:t>
      </w:r>
      <w:r w:rsidRPr="00BD2FEB">
        <w:t>obtenir le paiement de ses créances.</w:t>
      </w:r>
    </w:p>
    <w:p w:rsidR="00BD2FEB" w:rsidRPr="00BD2FEB" w:rsidRDefault="00BD2FEB" w:rsidP="00BD2FEB">
      <w:pPr>
        <w:pStyle w:val="JuPara"/>
      </w:pPr>
      <w:r w:rsidRPr="00BD2FEB">
        <w:t>4.  Auparavant, en 1993, la municipalité de Bénévent avait déclaré son état de faillite (</w:t>
      </w:r>
      <w:r w:rsidRPr="00BD2FEB">
        <w:rPr>
          <w:i/>
        </w:rPr>
        <w:t>stato di dissesto</w:t>
      </w:r>
      <w:r w:rsidRPr="00BD2FEB">
        <w:t>) conformément au décret législatif n</w:t>
      </w:r>
      <w:r w:rsidRPr="00BD2FEB">
        <w:rPr>
          <w:vertAlign w:val="superscript"/>
        </w:rPr>
        <w:t>o</w:t>
      </w:r>
      <w:r>
        <w:t> </w:t>
      </w:r>
      <w:r w:rsidRPr="00BD2FEB">
        <w:t>66 de 1989 (loi ensuite modifiée par la loi n</w:t>
      </w:r>
      <w:r w:rsidRPr="00BD2FEB">
        <w:rPr>
          <w:vertAlign w:val="superscript"/>
        </w:rPr>
        <w:t>o</w:t>
      </w:r>
      <w:r w:rsidRPr="00BD2FEB">
        <w:t xml:space="preserve"> 68 du 19 mars 1993, et puis par les décrets législatifs n</w:t>
      </w:r>
      <w:r w:rsidRPr="00BD2FEB">
        <w:rPr>
          <w:vertAlign w:val="superscript"/>
        </w:rPr>
        <w:t>o</w:t>
      </w:r>
      <w:r w:rsidRPr="00BD2FEB">
        <w:t xml:space="preserve"> 77 du 25 février 1995 et n</w:t>
      </w:r>
      <w:r w:rsidRPr="00BD2FEB">
        <w:rPr>
          <w:vertAlign w:val="superscript"/>
        </w:rPr>
        <w:t>o</w:t>
      </w:r>
      <w:r w:rsidRPr="00BD2FEB">
        <w:t xml:space="preserve"> 267 du 18 août 2000).  La gestion financière de la ville avait alors été confiée à un organe extraordinaire de liquidation (</w:t>
      </w:r>
      <w:r w:rsidRPr="00BD2FEB">
        <w:rPr>
          <w:i/>
        </w:rPr>
        <w:t>organo straordinario di liquidazione</w:t>
      </w:r>
      <w:r w:rsidRPr="00BD2FEB">
        <w:t>, ci-après, l</w:t>
      </w:r>
      <w:r w:rsidR="0049029B">
        <w:t>’</w:t>
      </w:r>
      <w:r w:rsidRPr="00BD2FEB">
        <w:t>« OSL »), chargé de procéder à la sélection des dettes qui pouvaient être remboursées dans le cadre de la procédure de liquidation.</w:t>
      </w:r>
    </w:p>
    <w:p w:rsidR="00BD2FEB" w:rsidRDefault="00BD2FEB" w:rsidP="00BD2FEB">
      <w:pPr>
        <w:pStyle w:val="JuPara"/>
      </w:pPr>
      <w:r w:rsidRPr="00BD2FEB">
        <w:t>5.  Aux termes de l</w:t>
      </w:r>
      <w:r w:rsidR="0049029B">
        <w:t>’</w:t>
      </w:r>
      <w:r w:rsidRPr="00BD2FEB">
        <w:t>article 248 § 2</w:t>
      </w:r>
      <w:r w:rsidRPr="00BD2FEB">
        <w:rPr>
          <w:i/>
        </w:rPr>
        <w:t xml:space="preserve"> </w:t>
      </w:r>
      <w:r w:rsidRPr="00BD2FEB">
        <w:t>du décret législatif n</w:t>
      </w:r>
      <w:r w:rsidRPr="00BD2FEB">
        <w:rPr>
          <w:vertAlign w:val="superscript"/>
        </w:rPr>
        <w:t>o</w:t>
      </w:r>
      <w:r w:rsidRPr="00BD2FEB">
        <w:t xml:space="preserve"> 267 du 18 août 2000 (loi sur les administrations publiques en détresse financière – </w:t>
      </w:r>
      <w:r w:rsidRPr="00BD2FEB">
        <w:rPr>
          <w:i/>
        </w:rPr>
        <w:t>enti locali dissestati</w:t>
      </w:r>
      <w:r w:rsidRPr="00BD2FEB">
        <w:t>), à partir de la déclaration de détresse financière (</w:t>
      </w:r>
      <w:r w:rsidRPr="00BD2FEB">
        <w:rPr>
          <w:i/>
        </w:rPr>
        <w:t>dissesto</w:t>
      </w:r>
      <w:r w:rsidRPr="00BD2FEB">
        <w:t>) et jusqu</w:t>
      </w:r>
      <w:r w:rsidR="0049029B">
        <w:t>’</w:t>
      </w:r>
      <w:r w:rsidRPr="00BD2FEB">
        <w:t>à l</w:t>
      </w:r>
      <w:r w:rsidR="0049029B">
        <w:t>’</w:t>
      </w:r>
      <w:r w:rsidRPr="00BD2FEB">
        <w:t>approbation du compte rendu (</w:t>
      </w:r>
      <w:r w:rsidRPr="00BD2FEB">
        <w:rPr>
          <w:i/>
        </w:rPr>
        <w:t>rendiconto</w:t>
      </w:r>
      <w:r w:rsidRPr="00BD2FEB">
        <w:t>), aucune procédure d</w:t>
      </w:r>
      <w:r w:rsidR="0049029B">
        <w:t>’</w:t>
      </w:r>
      <w:r w:rsidRPr="00BD2FEB">
        <w:t>exécution ne pouvait être entamée ou continuée pour les dettes qui rentraient dans la compétence de l</w:t>
      </w:r>
      <w:r w:rsidR="0049029B">
        <w:t>’</w:t>
      </w:r>
      <w:r w:rsidRPr="00BD2FEB">
        <w:t>OSL. Aux termes du paragraphe 4 de cette même disposition, pendant la période en question, aucune somme à titre de revalorisation de la monnaie ou d</w:t>
      </w:r>
      <w:r w:rsidR="0049029B">
        <w:t>’</w:t>
      </w:r>
      <w:r w:rsidRPr="00BD2FEB">
        <w:t>intérêts légaux n</w:t>
      </w:r>
      <w:r w:rsidR="0049029B">
        <w:t>’</w:t>
      </w:r>
      <w:r w:rsidRPr="00BD2FEB">
        <w:t>était due par l</w:t>
      </w:r>
      <w:r w:rsidR="0049029B">
        <w:t>’</w:t>
      </w:r>
      <w:r w:rsidRPr="00BD2FEB">
        <w:t>administration en détresse.</w:t>
      </w:r>
    </w:p>
    <w:p w:rsidR="00BD2FEB" w:rsidRDefault="00BD2FEB" w:rsidP="00BD2FEB">
      <w:pPr>
        <w:pStyle w:val="JuPara"/>
      </w:pPr>
      <w:r w:rsidRPr="00BD2FEB">
        <w:t>6.  La jurisprudence interne (voir la décision du Conseil d</w:t>
      </w:r>
      <w:r w:rsidR="0049029B">
        <w:t>’</w:t>
      </w:r>
      <w:r w:rsidRPr="00BD2FEB">
        <w:t>Etat n</w:t>
      </w:r>
      <w:r w:rsidRPr="00BD2FEB">
        <w:rPr>
          <w:vertAlign w:val="superscript"/>
        </w:rPr>
        <w:t>o</w:t>
      </w:r>
      <w:r w:rsidRPr="00BD2FEB">
        <w:t> 5778 du 30 octobre 2001) avait estimé que le décret législatif n</w:t>
      </w:r>
      <w:r w:rsidRPr="00BD2FEB">
        <w:rPr>
          <w:vertAlign w:val="superscript"/>
        </w:rPr>
        <w:t>o</w:t>
      </w:r>
      <w:r w:rsidRPr="00BD2FEB">
        <w:t> 267 de 2000 ne s</w:t>
      </w:r>
      <w:r w:rsidR="0049029B">
        <w:t>’</w:t>
      </w:r>
      <w:r w:rsidRPr="00BD2FEB">
        <w:t>appliquait pas aux créances envers une administration locale qui étaient certaines et exigibles en conséquence d</w:t>
      </w:r>
      <w:r w:rsidR="0049029B">
        <w:t>’</w:t>
      </w:r>
      <w:r w:rsidRPr="00BD2FEB">
        <w:t>un jugement prononcé après la déclaration de détresse financière, et ce même si elles avaient surgi antérieurement. Dès lors, l</w:t>
      </w:r>
      <w:r w:rsidR="0049029B">
        <w:t>’</w:t>
      </w:r>
      <w:r w:rsidRPr="00BD2FEB">
        <w:t>on pouvait entamer une procédure d</w:t>
      </w:r>
      <w:r w:rsidR="0049029B">
        <w:t>’</w:t>
      </w:r>
      <w:r w:rsidRPr="00BD2FEB">
        <w:t>exécution en relation à ces créances.</w:t>
      </w:r>
    </w:p>
    <w:p w:rsidR="00BD2FEB" w:rsidRDefault="00BD2FEB" w:rsidP="00BD2FEB">
      <w:pPr>
        <w:pStyle w:val="JuPara"/>
      </w:pPr>
      <w:r w:rsidRPr="00BD2FEB">
        <w:t>7.  Le 13 juin 2004, entra en vigueur la loi n</w:t>
      </w:r>
      <w:r w:rsidRPr="00BD2FEB">
        <w:rPr>
          <w:vertAlign w:val="superscript"/>
        </w:rPr>
        <w:t>o</w:t>
      </w:r>
      <w:r w:rsidRPr="00BD2FEB">
        <w:t xml:space="preserve"> 140 du 28 mai 2004. L</w:t>
      </w:r>
      <w:r w:rsidR="0049029B">
        <w:t>’</w:t>
      </w:r>
      <w:r w:rsidRPr="00BD2FEB">
        <w:t>article 5 § 2 de celle-ci prévoit l</w:t>
      </w:r>
      <w:r w:rsidR="0049029B">
        <w:t>’</w:t>
      </w:r>
      <w:r w:rsidRPr="00BD2FEB">
        <w:t>application des dispositions sur les administrations locales en détresse aussi en ce qui concerne les créances pour des faits ayant eu lieu avant le 31 décembre de l</w:t>
      </w:r>
      <w:r w:rsidR="0049029B">
        <w:t>’</w:t>
      </w:r>
      <w:r w:rsidRPr="00BD2FEB">
        <w:t>année qui précède l</w:t>
      </w:r>
      <w:r w:rsidR="0049029B">
        <w:t>’</w:t>
      </w:r>
      <w:r w:rsidRPr="00BD2FEB">
        <w:t>année du bilan rééquilibré (</w:t>
      </w:r>
      <w:r w:rsidRPr="00BD2FEB">
        <w:rPr>
          <w:i/>
        </w:rPr>
        <w:t>bilancio riequilibrato</w:t>
      </w:r>
      <w:r w:rsidRPr="00BD2FEB">
        <w:t>), et ce même lorsque ces créances ont été établies par une décision de justice postérieure à une telle date.</w:t>
      </w:r>
    </w:p>
    <w:p w:rsidR="00BD2FEB" w:rsidRPr="00BD2FEB" w:rsidRDefault="00BD2FEB" w:rsidP="00BD2FEB">
      <w:pPr>
        <w:pStyle w:val="JuPara"/>
      </w:pPr>
      <w:r w:rsidRPr="00BD2FEB">
        <w:t>8.  Le 15 janvier 2005, la mairie de Bénévent excipa de l</w:t>
      </w:r>
      <w:r w:rsidR="0049029B">
        <w:t>’</w:t>
      </w:r>
      <w:r w:rsidRPr="00BD2FEB">
        <w:t>irrecevabilité de la demande d</w:t>
      </w:r>
      <w:r w:rsidR="0049029B">
        <w:t>’</w:t>
      </w:r>
      <w:r w:rsidRPr="00BD2FEB">
        <w:t>exécution, et ce aux termes de l</w:t>
      </w:r>
      <w:r w:rsidR="0049029B">
        <w:t>’</w:t>
      </w:r>
      <w:r w:rsidRPr="00BD2FEB">
        <w:t>article 248 § 2</w:t>
      </w:r>
      <w:r w:rsidRPr="00BD2FEB">
        <w:rPr>
          <w:i/>
        </w:rPr>
        <w:t xml:space="preserve"> </w:t>
      </w:r>
      <w:r w:rsidRPr="00BD2FEB">
        <w:t>du décret législatif n</w:t>
      </w:r>
      <w:r w:rsidRPr="00BD2FEB">
        <w:rPr>
          <w:vertAlign w:val="superscript"/>
        </w:rPr>
        <w:t>o</w:t>
      </w:r>
      <w:r w:rsidRPr="00BD2FEB">
        <w:t> 267 de 2000 et de l</w:t>
      </w:r>
      <w:r w:rsidR="0049029B">
        <w:t>’</w:t>
      </w:r>
      <w:r w:rsidRPr="00BD2FEB">
        <w:t>article 5 § 2 de la loi n</w:t>
      </w:r>
      <w:r w:rsidRPr="00BD2FEB">
        <w:rPr>
          <w:vertAlign w:val="superscript"/>
        </w:rPr>
        <w:t>o</w:t>
      </w:r>
      <w:r w:rsidRPr="00BD2FEB">
        <w:t xml:space="preserve"> 140 de 2004.</w:t>
      </w:r>
    </w:p>
    <w:p w:rsidR="00BD2FEB" w:rsidRPr="00BD2FEB" w:rsidRDefault="00BD2FEB" w:rsidP="00BD2FEB">
      <w:pPr>
        <w:pStyle w:val="JuPara"/>
      </w:pPr>
      <w:r w:rsidRPr="00BD2FEB">
        <w:t>9.  A une date non précisée, le tribunal de Bénévent suspendit l</w:t>
      </w:r>
      <w:r w:rsidR="0049029B">
        <w:t>’</w:t>
      </w:r>
      <w:r w:rsidRPr="00BD2FEB">
        <w:t>examen de la demande d</w:t>
      </w:r>
      <w:r w:rsidR="0049029B">
        <w:t>’</w:t>
      </w:r>
      <w:r w:rsidRPr="00BD2FEB">
        <w:t>exécution et les requérantes demandèrent que leur créance fût inscrite au passif de la commune de Bénévent. En décembre 2008, elles obtinrent le paiement d</w:t>
      </w:r>
      <w:r w:rsidR="0049029B">
        <w:t>’</w:t>
      </w:r>
      <w:r w:rsidRPr="00BD2FEB">
        <w:t>une partie de leurs créances.</w:t>
      </w:r>
    </w:p>
    <w:p w:rsidR="00BD2FEB" w:rsidRPr="00BD2FEB" w:rsidRDefault="00BD2FEB" w:rsidP="00BD2FEB">
      <w:pPr>
        <w:pStyle w:val="JuHHead"/>
      </w:pPr>
      <w:r w:rsidRPr="00BD2FEB">
        <w:t>GRIEFS</w:t>
      </w:r>
    </w:p>
    <w:p w:rsidR="00BD2FEB" w:rsidRPr="00BD2FEB" w:rsidRDefault="00BD2FEB" w:rsidP="00BD2FEB">
      <w:pPr>
        <w:pStyle w:val="JuPara"/>
      </w:pPr>
      <w:r w:rsidRPr="00BD2FEB">
        <w:t>10.  Invoquant l</w:t>
      </w:r>
      <w:r w:rsidR="0049029B">
        <w:t>’</w:t>
      </w:r>
      <w:r w:rsidRPr="00BD2FEB">
        <w:t>article 6 § 1 de la Convention, les requérantes se plaignent de ne pas pouvoir continuer la procédure d</w:t>
      </w:r>
      <w:r w:rsidR="0049029B">
        <w:t>’</w:t>
      </w:r>
      <w:r w:rsidRPr="00BD2FEB">
        <w:t>exécution envers la maire de Bénévent.</w:t>
      </w:r>
    </w:p>
    <w:p w:rsidR="00BD2FEB" w:rsidRPr="00BD2FEB" w:rsidRDefault="00BD2FEB" w:rsidP="00BD2FEB">
      <w:pPr>
        <w:pStyle w:val="JuPara"/>
      </w:pPr>
      <w:r w:rsidRPr="00BD2FEB">
        <w:t>11.  Invoquant l</w:t>
      </w:r>
      <w:r w:rsidR="0049029B">
        <w:t>’</w:t>
      </w:r>
      <w:r w:rsidRPr="00BD2FEB">
        <w:t>article 1 du Protocole n</w:t>
      </w:r>
      <w:r w:rsidRPr="00BD2FEB">
        <w:rPr>
          <w:vertAlign w:val="superscript"/>
        </w:rPr>
        <w:t>o</w:t>
      </w:r>
      <w:r w:rsidRPr="00BD2FEB">
        <w:t xml:space="preserve"> 1, les requérantes allèguent ne pas pouvoir obtenir le paiement intégral de leurs créances, et ce à cause de l</w:t>
      </w:r>
      <w:r w:rsidR="0049029B">
        <w:t>’</w:t>
      </w:r>
      <w:r w:rsidRPr="00BD2FEB">
        <w:t>entrée en vigueur de la loi n</w:t>
      </w:r>
      <w:r w:rsidRPr="00BD2FEB">
        <w:rPr>
          <w:vertAlign w:val="superscript"/>
        </w:rPr>
        <w:t>o</w:t>
      </w:r>
      <w:r w:rsidRPr="00BD2FEB">
        <w:t xml:space="preserve"> 140 de 2004.</w:t>
      </w:r>
    </w:p>
    <w:p w:rsidR="00BD2FEB" w:rsidRPr="00BD2FEB" w:rsidRDefault="00BD2FEB" w:rsidP="00BD2FEB">
      <w:pPr>
        <w:pStyle w:val="JuPara"/>
      </w:pPr>
      <w:r w:rsidRPr="00BD2FEB">
        <w:t>12.  Invoquant l</w:t>
      </w:r>
      <w:r w:rsidR="0049029B">
        <w:t>’</w:t>
      </w:r>
      <w:r w:rsidRPr="00BD2FEB">
        <w:t>article 13 de la Convention, les requérantes se plaignent de ne disposer, en droit italien, d</w:t>
      </w:r>
      <w:r w:rsidR="0049029B">
        <w:t>’</w:t>
      </w:r>
      <w:r w:rsidRPr="00BD2FEB">
        <w:t>aucun recours effectif pour faire valoir leurs griefs tirés des articles 6 de la Convention et 1 du Protocole n</w:t>
      </w:r>
      <w:r w:rsidRPr="00BD2FEB">
        <w:rPr>
          <w:vertAlign w:val="superscript"/>
        </w:rPr>
        <w:t>o</w:t>
      </w:r>
      <w:r w:rsidRPr="00BD2FEB">
        <w:t xml:space="preserve"> 1.</w:t>
      </w:r>
    </w:p>
    <w:p w:rsidR="00BD2FEB" w:rsidRPr="00BD2FEB" w:rsidRDefault="00BD2FEB" w:rsidP="00BD2FEB">
      <w:pPr>
        <w:pStyle w:val="JuHHead"/>
      </w:pPr>
      <w:r w:rsidRPr="00BD2FEB">
        <w:t>EN DROIT</w:t>
      </w:r>
    </w:p>
    <w:p w:rsidR="00BD2FEB" w:rsidRDefault="00BD2FEB" w:rsidP="00BD2FEB">
      <w:pPr>
        <w:pStyle w:val="JuPara"/>
        <w:rPr>
          <w:lang w:eastAsia="en-GB"/>
        </w:rPr>
      </w:pPr>
      <w:r w:rsidRPr="00BD2FEB">
        <w:t>13.  Les requérantes considèrent que l</w:t>
      </w:r>
      <w:r w:rsidR="0049029B">
        <w:t>’</w:t>
      </w:r>
      <w:r w:rsidRPr="00BD2FEB">
        <w:t xml:space="preserve">application des dispositions sur les administrations locales en détresse </w:t>
      </w:r>
      <w:r w:rsidRPr="00BD2FEB">
        <w:rPr>
          <w:lang w:eastAsia="en-GB"/>
        </w:rPr>
        <w:t>a violé leurs droits garantis par les articles</w:t>
      </w:r>
      <w:r>
        <w:rPr>
          <w:lang w:eastAsia="en-GB"/>
        </w:rPr>
        <w:t> </w:t>
      </w:r>
      <w:r w:rsidRPr="00BD2FEB">
        <w:rPr>
          <w:lang w:eastAsia="en-GB"/>
        </w:rPr>
        <w:t>6</w:t>
      </w:r>
      <w:r>
        <w:rPr>
          <w:lang w:eastAsia="en-GB"/>
        </w:rPr>
        <w:t> </w:t>
      </w:r>
      <w:r w:rsidRPr="00BD2FEB">
        <w:rPr>
          <w:lang w:eastAsia="en-GB"/>
        </w:rPr>
        <w:t>§</w:t>
      </w:r>
      <w:r>
        <w:rPr>
          <w:lang w:eastAsia="en-GB"/>
        </w:rPr>
        <w:t> </w:t>
      </w:r>
      <w:r w:rsidRPr="00BD2FEB">
        <w:rPr>
          <w:lang w:eastAsia="en-GB"/>
        </w:rPr>
        <w:t>1 de la Convention et 1 du Protocole n</w:t>
      </w:r>
      <w:r w:rsidRPr="00BD2FEB">
        <w:rPr>
          <w:vertAlign w:val="superscript"/>
          <w:lang w:eastAsia="en-GB"/>
        </w:rPr>
        <w:t>o</w:t>
      </w:r>
      <w:r>
        <w:rPr>
          <w:lang w:eastAsia="en-GB"/>
        </w:rPr>
        <w:t> </w:t>
      </w:r>
      <w:r w:rsidRPr="00BD2FEB">
        <w:rPr>
          <w:lang w:eastAsia="en-GB"/>
        </w:rPr>
        <w:t>1. De plus, contrairement à l</w:t>
      </w:r>
      <w:r w:rsidR="0049029B">
        <w:rPr>
          <w:lang w:eastAsia="en-GB"/>
        </w:rPr>
        <w:t>’</w:t>
      </w:r>
      <w:r w:rsidRPr="00BD2FEB">
        <w:rPr>
          <w:lang w:eastAsia="en-GB"/>
        </w:rPr>
        <w:t>article 13 de la Convention, elles ne disposaient pas d</w:t>
      </w:r>
      <w:r w:rsidR="0049029B">
        <w:rPr>
          <w:lang w:eastAsia="en-GB"/>
        </w:rPr>
        <w:t>’</w:t>
      </w:r>
      <w:r w:rsidRPr="00BD2FEB">
        <w:rPr>
          <w:lang w:eastAsia="en-GB"/>
        </w:rPr>
        <w:t>un recours effectif au niveau national.</w:t>
      </w:r>
    </w:p>
    <w:p w:rsidR="00BD2FEB" w:rsidRPr="00BD2FEB" w:rsidRDefault="00BD2FEB" w:rsidP="00BD2FEB">
      <w:pPr>
        <w:pStyle w:val="JuPara"/>
        <w:rPr>
          <w:lang w:eastAsia="en-GB"/>
        </w:rPr>
      </w:pPr>
      <w:r w:rsidRPr="00BD2FEB">
        <w:rPr>
          <w:lang w:eastAsia="en-GB"/>
        </w:rPr>
        <w:t>Dans leurs parties pertinentes, les dispositions invoquées par les requérantes se lisent ainsi :</w:t>
      </w:r>
    </w:p>
    <w:p w:rsidR="00BD2FEB" w:rsidRPr="00BD2FEB" w:rsidRDefault="00BD2FEB" w:rsidP="0049029B">
      <w:pPr>
        <w:pStyle w:val="JuHArticle"/>
        <w:rPr>
          <w:lang w:eastAsia="en-GB"/>
        </w:rPr>
      </w:pPr>
      <w:r w:rsidRPr="00BD2FEB">
        <w:rPr>
          <w:lang w:eastAsia="en-GB"/>
        </w:rPr>
        <w:t>Article 6 § 1 de la Convention</w:t>
      </w:r>
    </w:p>
    <w:p w:rsidR="00BD2FEB" w:rsidRPr="00BD2FEB" w:rsidRDefault="00BD2FEB" w:rsidP="00BD2FEB">
      <w:pPr>
        <w:pStyle w:val="JuQuot"/>
      </w:pPr>
      <w:r w:rsidRPr="00BD2FEB">
        <w:t>« Toute personne a droit à ce que sa cause soit entendue (...) par un tribunal (</w:t>
      </w:r>
      <w:r>
        <w:t>...</w:t>
      </w:r>
      <w:r w:rsidRPr="00BD2FEB">
        <w:t>), qui décidera (...) des contestations sur ses droits et obligations de caractère civil (...). »</w:t>
      </w:r>
    </w:p>
    <w:p w:rsidR="00BD2FEB" w:rsidRPr="0049029B" w:rsidRDefault="00BD2FEB" w:rsidP="0049029B">
      <w:pPr>
        <w:pStyle w:val="JuHArticle"/>
        <w:rPr>
          <w:lang w:eastAsia="en-GB"/>
        </w:rPr>
      </w:pPr>
      <w:r w:rsidRPr="0049029B">
        <w:rPr>
          <w:lang w:eastAsia="en-GB"/>
        </w:rPr>
        <w:t>Article 1 du Protocole no 1</w:t>
      </w:r>
    </w:p>
    <w:p w:rsidR="00BD2FEB" w:rsidRPr="00BD2FEB" w:rsidRDefault="00BD2FEB" w:rsidP="00BD2FEB">
      <w:pPr>
        <w:pStyle w:val="JuQuot"/>
      </w:pPr>
      <w:r w:rsidRPr="00BD2FEB">
        <w:t>« Toute personne physique ou morale a droit au respect de ses biens. Nul ne peut être privé de sa propriété que pour cause d</w:t>
      </w:r>
      <w:r w:rsidR="0049029B">
        <w:t>’</w:t>
      </w:r>
      <w:r w:rsidRPr="00BD2FEB">
        <w:t>utilité publique et dans les conditions prévues par la loi et les principes généraux du droit international.</w:t>
      </w:r>
    </w:p>
    <w:p w:rsidR="00BD2FEB" w:rsidRPr="00BD2FEB" w:rsidRDefault="00BD2FEB" w:rsidP="00BD2FEB">
      <w:pPr>
        <w:pStyle w:val="JuQuot"/>
      </w:pPr>
      <w:r w:rsidRPr="00BD2FEB">
        <w:t>Les dispositions précédentes ne portent pas atteinte au droit que possèdent les Etats de mettre en vigueur les lois qu</w:t>
      </w:r>
      <w:r w:rsidR="0049029B">
        <w:t>’</w:t>
      </w:r>
      <w:r w:rsidRPr="00BD2FEB">
        <w:t>ils jugent nécessaires pour réglementer l</w:t>
      </w:r>
      <w:r w:rsidR="0049029B">
        <w:t>’</w:t>
      </w:r>
      <w:r w:rsidRPr="00BD2FEB">
        <w:t>usage des biens conformément à l</w:t>
      </w:r>
      <w:r w:rsidR="0049029B">
        <w:t>’</w:t>
      </w:r>
      <w:r w:rsidRPr="00BD2FEB">
        <w:t>intérêt général ou pour assurer le paiement des impôts ou d</w:t>
      </w:r>
      <w:r w:rsidR="0049029B">
        <w:t>’</w:t>
      </w:r>
      <w:r w:rsidRPr="00BD2FEB">
        <w:t>autres contributions ou des amendes. »</w:t>
      </w:r>
    </w:p>
    <w:p w:rsidR="00BD2FEB" w:rsidRPr="0049029B" w:rsidRDefault="00BD2FEB" w:rsidP="0049029B">
      <w:pPr>
        <w:pStyle w:val="JuHArticle"/>
        <w:rPr>
          <w:lang w:eastAsia="en-GB"/>
        </w:rPr>
      </w:pPr>
      <w:r w:rsidRPr="0049029B">
        <w:rPr>
          <w:lang w:eastAsia="en-GB"/>
        </w:rPr>
        <w:t>Article 13 de la Convention</w:t>
      </w:r>
    </w:p>
    <w:p w:rsidR="00BD2FEB" w:rsidRPr="00BD2FEB" w:rsidRDefault="00BD2FEB" w:rsidP="00BD2FEB">
      <w:pPr>
        <w:pStyle w:val="JuQuot"/>
      </w:pPr>
      <w:r w:rsidRPr="00BD2FEB">
        <w:t>« Toute personne dont les droits et libertés reconnus dans la (...) Convention ont été violés, a droit à l</w:t>
      </w:r>
      <w:r w:rsidR="0049029B">
        <w:t>’</w:t>
      </w:r>
      <w:r w:rsidRPr="00BD2FEB">
        <w:t>octroi d</w:t>
      </w:r>
      <w:r w:rsidR="0049029B">
        <w:t>’</w:t>
      </w:r>
      <w:r w:rsidRPr="00BD2FEB">
        <w:t>un recours effectif devant une instance nationale, alors même que la violation aurait été commise par des personnes agissant dans l</w:t>
      </w:r>
      <w:r w:rsidR="0049029B">
        <w:t>’</w:t>
      </w:r>
      <w:r w:rsidRPr="00BD2FEB">
        <w:t>exercice de leurs fonctions officielles. »</w:t>
      </w:r>
    </w:p>
    <w:p w:rsidR="00BD2FEB" w:rsidRPr="00BD2FEB" w:rsidRDefault="00BD2FEB" w:rsidP="00BD2FEB">
      <w:pPr>
        <w:pStyle w:val="JuPara"/>
        <w:rPr>
          <w:rStyle w:val="sb8d990e2"/>
        </w:rPr>
      </w:pPr>
      <w:r w:rsidRPr="00BD2FEB">
        <w:rPr>
          <w:lang w:eastAsia="en-GB"/>
        </w:rPr>
        <w:t>14.  La Cour doit d</w:t>
      </w:r>
      <w:r w:rsidR="0049029B">
        <w:rPr>
          <w:lang w:eastAsia="en-GB"/>
        </w:rPr>
        <w:t>’</w:t>
      </w:r>
      <w:r w:rsidRPr="00BD2FEB">
        <w:rPr>
          <w:lang w:eastAsia="en-GB"/>
        </w:rPr>
        <w:t>abord établir si les requérantes ont satisfait aux obligations découlant de l</w:t>
      </w:r>
      <w:r w:rsidR="0049029B">
        <w:rPr>
          <w:lang w:eastAsia="en-GB"/>
        </w:rPr>
        <w:t>’</w:t>
      </w:r>
      <w:r w:rsidRPr="00BD2FEB">
        <w:rPr>
          <w:lang w:eastAsia="en-GB"/>
        </w:rPr>
        <w:t xml:space="preserve">article 35 § 1 de la Convention. </w:t>
      </w:r>
      <w:r w:rsidRPr="00BD2FEB">
        <w:rPr>
          <w:rStyle w:val="sb8d990e2"/>
        </w:rPr>
        <w:t>Elle rappelle qu</w:t>
      </w:r>
      <w:r w:rsidR="0049029B">
        <w:rPr>
          <w:rStyle w:val="sb8d990e2"/>
        </w:rPr>
        <w:t>’</w:t>
      </w:r>
      <w:r w:rsidRPr="00BD2FEB">
        <w:rPr>
          <w:rStyle w:val="sb8d990e2"/>
        </w:rPr>
        <w:t>aux termes de cette disposition, elle ne peut être saisie que dans un délai de six mois à partir de la date de la décision interne définitive. Lorsqu</w:t>
      </w:r>
      <w:r w:rsidR="0049029B">
        <w:rPr>
          <w:rStyle w:val="sb8d990e2"/>
        </w:rPr>
        <w:t>’</w:t>
      </w:r>
      <w:r w:rsidRPr="00BD2FEB">
        <w:rPr>
          <w:rStyle w:val="sb8d990e2"/>
        </w:rPr>
        <w:t>un requérant se plaint d</w:t>
      </w:r>
      <w:r w:rsidR="0049029B">
        <w:rPr>
          <w:rStyle w:val="sb8d990e2"/>
        </w:rPr>
        <w:t>’</w:t>
      </w:r>
      <w:r w:rsidRPr="00BD2FEB">
        <w:rPr>
          <w:rStyle w:val="sb8d990e2"/>
        </w:rPr>
        <w:t>une situation continue, ce délai court à partir de la fin de celle-ci (voir, parmi beaucoup d</w:t>
      </w:r>
      <w:r w:rsidR="0049029B">
        <w:rPr>
          <w:rStyle w:val="sb8d990e2"/>
        </w:rPr>
        <w:t>’</w:t>
      </w:r>
      <w:r w:rsidRPr="00BD2FEB">
        <w:rPr>
          <w:rStyle w:val="sb8d990e2"/>
        </w:rPr>
        <w:t xml:space="preserve">autres, </w:t>
      </w:r>
      <w:r w:rsidRPr="00BD2FEB">
        <w:rPr>
          <w:rStyle w:val="s6b621b36"/>
          <w:i/>
        </w:rPr>
        <w:t>Ortolani c. Italie</w:t>
      </w:r>
      <w:r w:rsidRPr="00BD2FEB">
        <w:rPr>
          <w:rStyle w:val="s6b621b36"/>
        </w:rPr>
        <w:t xml:space="preserve"> </w:t>
      </w:r>
      <w:r w:rsidRPr="00BD2FEB">
        <w:rPr>
          <w:rStyle w:val="sb8d990e2"/>
        </w:rPr>
        <w:t>(déc.), n</w:t>
      </w:r>
      <w:r w:rsidRPr="00BD2FEB">
        <w:rPr>
          <w:rStyle w:val="sb8d990e2"/>
          <w:vertAlign w:val="superscript"/>
        </w:rPr>
        <w:t>o</w:t>
      </w:r>
      <w:r w:rsidRPr="00BD2FEB">
        <w:rPr>
          <w:rStyle w:val="sb8d990e2"/>
        </w:rPr>
        <w:t> 46283/99, 31 mai 2001).</w:t>
      </w:r>
    </w:p>
    <w:p w:rsidR="00BD2FEB" w:rsidRPr="00BD2FEB" w:rsidRDefault="00BD2FEB" w:rsidP="00BD2FEB">
      <w:pPr>
        <w:pStyle w:val="JuPara"/>
      </w:pPr>
      <w:r w:rsidRPr="00BD2FEB">
        <w:rPr>
          <w:rStyle w:val="sb8d990e2"/>
        </w:rPr>
        <w:t xml:space="preserve">15.  Cependant, </w:t>
      </w:r>
      <w:r w:rsidRPr="00BD2FEB">
        <w:t>dans l</w:t>
      </w:r>
      <w:r w:rsidR="0049029B">
        <w:t>’</w:t>
      </w:r>
      <w:r w:rsidRPr="00BD2FEB">
        <w:t xml:space="preserve">affaire </w:t>
      </w:r>
      <w:r w:rsidRPr="00BD2FEB">
        <w:rPr>
          <w:i/>
        </w:rPr>
        <w:t>Posti et Rahko c. Finlande</w:t>
      </w:r>
      <w:r w:rsidRPr="00BD2FEB">
        <w:t xml:space="preserve"> (n</w:t>
      </w:r>
      <w:r w:rsidRPr="00BD2FEB">
        <w:rPr>
          <w:vertAlign w:val="superscript"/>
        </w:rPr>
        <w:t>o</w:t>
      </w:r>
      <w:r>
        <w:t> </w:t>
      </w:r>
      <w:r w:rsidRPr="00BD2FEB">
        <w:t>27824/95, §§ 40 et 41, 24 septembre 2002), la Cour a estimé que lorsqu</w:t>
      </w:r>
      <w:r w:rsidR="0049029B">
        <w:t>’</w:t>
      </w:r>
      <w:r w:rsidRPr="00BD2FEB">
        <w:t>un requérant tire son grief d</w:t>
      </w:r>
      <w:r w:rsidR="0049029B">
        <w:t>’</w:t>
      </w:r>
      <w:r w:rsidRPr="00BD2FEB">
        <w:t>événements particuliers survenus à des dates précises, il ne saurait s</w:t>
      </w:r>
      <w:r w:rsidR="0049029B">
        <w:t>’</w:t>
      </w:r>
      <w:r w:rsidRPr="00BD2FEB">
        <w:t>agir d</w:t>
      </w:r>
      <w:r w:rsidR="0049029B">
        <w:t>’</w:t>
      </w:r>
      <w:r w:rsidRPr="00BD2FEB">
        <w:t>une « situation continue » aux fins de la règle des six mois. Le fait qu</w:t>
      </w:r>
      <w:r w:rsidR="0049029B">
        <w:t>’</w:t>
      </w:r>
      <w:r w:rsidRPr="00BD2FEB">
        <w:t>un événement ait des conséquences importantes étalées dans le temps – comme les restrictions à l</w:t>
      </w:r>
      <w:r w:rsidR="0049029B">
        <w:t>’</w:t>
      </w:r>
      <w:r w:rsidRPr="00BD2FEB">
        <w:t>accès au tribunal – ne signifie pas qu</w:t>
      </w:r>
      <w:r w:rsidR="0049029B">
        <w:t>’</w:t>
      </w:r>
      <w:r w:rsidRPr="00BD2FEB">
        <w:t>il est à l</w:t>
      </w:r>
      <w:r w:rsidR="0049029B">
        <w:t>’</w:t>
      </w:r>
      <w:r w:rsidRPr="00BD2FEB">
        <w:t>origine d</w:t>
      </w:r>
      <w:r w:rsidR="0049029B">
        <w:t>’</w:t>
      </w:r>
      <w:r w:rsidRPr="00BD2FEB">
        <w:t xml:space="preserve">une « situation continue » (voir également </w:t>
      </w:r>
      <w:r w:rsidRPr="00BD2FEB">
        <w:rPr>
          <w:i/>
        </w:rPr>
        <w:t>Iacov Stanciu c. Roumanie</w:t>
      </w:r>
      <w:r w:rsidRPr="00BD2FEB">
        <w:t>, n</w:t>
      </w:r>
      <w:r w:rsidRPr="00BD2FEB">
        <w:rPr>
          <w:vertAlign w:val="superscript"/>
        </w:rPr>
        <w:t>o</w:t>
      </w:r>
      <w:r w:rsidRPr="00BD2FEB">
        <w:t> 35972/05, § 137, 24 juillet 2012).</w:t>
      </w:r>
    </w:p>
    <w:p w:rsidR="00BD2FEB" w:rsidRPr="00BD2FEB" w:rsidRDefault="00BD2FEB" w:rsidP="00BD2FEB">
      <w:pPr>
        <w:pStyle w:val="JuPara"/>
        <w:rPr>
          <w:lang w:eastAsia="en-GB"/>
        </w:rPr>
      </w:pPr>
      <w:r w:rsidRPr="00BD2FEB">
        <w:rPr>
          <w:lang w:eastAsia="en-GB"/>
        </w:rPr>
        <w:t>16.  En l</w:t>
      </w:r>
      <w:r w:rsidR="0049029B">
        <w:rPr>
          <w:lang w:eastAsia="en-GB"/>
        </w:rPr>
        <w:t>’</w:t>
      </w:r>
      <w:r w:rsidRPr="00BD2FEB">
        <w:rPr>
          <w:lang w:eastAsia="en-GB"/>
        </w:rPr>
        <w:t>espèce, l</w:t>
      </w:r>
      <w:r w:rsidR="0049029B">
        <w:rPr>
          <w:lang w:eastAsia="en-GB"/>
        </w:rPr>
        <w:t>’</w:t>
      </w:r>
      <w:r w:rsidRPr="00BD2FEB">
        <w:rPr>
          <w:lang w:eastAsia="en-GB"/>
        </w:rPr>
        <w:t>événement particulier dont les requérantes se plaignent semble être la loi n</w:t>
      </w:r>
      <w:r w:rsidRPr="00BD2FEB">
        <w:rPr>
          <w:vertAlign w:val="superscript"/>
          <w:lang w:eastAsia="en-GB"/>
        </w:rPr>
        <w:t>o</w:t>
      </w:r>
      <w:r w:rsidRPr="00BD2FEB">
        <w:rPr>
          <w:lang w:eastAsia="en-GB"/>
        </w:rPr>
        <w:t xml:space="preserve"> 140 de 2004. En effet, cette loi est à l</w:t>
      </w:r>
      <w:r w:rsidR="0049029B">
        <w:rPr>
          <w:lang w:eastAsia="en-GB"/>
        </w:rPr>
        <w:t>’</w:t>
      </w:r>
      <w:r w:rsidRPr="00BD2FEB">
        <w:rPr>
          <w:lang w:eastAsia="en-GB"/>
        </w:rPr>
        <w:t>origine de l</w:t>
      </w:r>
      <w:r w:rsidR="0049029B">
        <w:rPr>
          <w:lang w:eastAsia="en-GB"/>
        </w:rPr>
        <w:t>’</w:t>
      </w:r>
      <w:r w:rsidRPr="00BD2FEB">
        <w:rPr>
          <w:lang w:eastAsia="en-GB"/>
        </w:rPr>
        <w:t>impossibilité, pour des individus se trouvant dans une situation similaire à celle des requérantes, de continuer toute procédure d</w:t>
      </w:r>
      <w:r w:rsidR="0049029B">
        <w:rPr>
          <w:lang w:eastAsia="en-GB"/>
        </w:rPr>
        <w:t>’</w:t>
      </w:r>
      <w:r w:rsidRPr="00BD2FEB">
        <w:rPr>
          <w:lang w:eastAsia="en-GB"/>
        </w:rPr>
        <w:t>exécution à l</w:t>
      </w:r>
      <w:r w:rsidR="0049029B">
        <w:rPr>
          <w:lang w:eastAsia="en-GB"/>
        </w:rPr>
        <w:t>’</w:t>
      </w:r>
      <w:r w:rsidRPr="00BD2FEB">
        <w:rPr>
          <w:lang w:eastAsia="en-GB"/>
        </w:rPr>
        <w:t xml:space="preserve">encontre des </w:t>
      </w:r>
      <w:r w:rsidRPr="00BD2FEB">
        <w:t>administrations locales en détresse, comme la mairie de Bénévent.</w:t>
      </w:r>
      <w:r w:rsidRPr="00BD2FEB">
        <w:rPr>
          <w:lang w:eastAsia="en-GB"/>
        </w:rPr>
        <w:t xml:space="preserve"> La période de six mois pertinente en l</w:t>
      </w:r>
      <w:r w:rsidR="0049029B">
        <w:rPr>
          <w:lang w:eastAsia="en-GB"/>
        </w:rPr>
        <w:t>’</w:t>
      </w:r>
      <w:r w:rsidRPr="00BD2FEB">
        <w:rPr>
          <w:lang w:eastAsia="en-GB"/>
        </w:rPr>
        <w:t>espèce semble donc avoir débuté avec l</w:t>
      </w:r>
      <w:r w:rsidR="0049029B">
        <w:rPr>
          <w:lang w:eastAsia="en-GB"/>
        </w:rPr>
        <w:t>’</w:t>
      </w:r>
      <w:r w:rsidRPr="00BD2FEB">
        <w:rPr>
          <w:lang w:eastAsia="en-GB"/>
        </w:rPr>
        <w:t>entrée en vigueur de cette loi, à savoir le 13 juin 2004 (paragraphe 7 ci-dessus).</w:t>
      </w:r>
    </w:p>
    <w:p w:rsidR="00BD2FEB" w:rsidRPr="00BD2FEB" w:rsidRDefault="00BD2FEB" w:rsidP="00BD2FEB">
      <w:pPr>
        <w:pStyle w:val="JuPara"/>
        <w:rPr>
          <w:lang w:eastAsia="en-GB"/>
        </w:rPr>
      </w:pPr>
      <w:r w:rsidRPr="00BD2FEB">
        <w:rPr>
          <w:lang w:eastAsia="en-GB"/>
        </w:rPr>
        <w:t>17.  De plus, la Cour note que les créances héritées de M. Pietro Villani avaient surgi avant l</w:t>
      </w:r>
      <w:r w:rsidR="0049029B">
        <w:rPr>
          <w:lang w:eastAsia="en-GB"/>
        </w:rPr>
        <w:t>’</w:t>
      </w:r>
      <w:r w:rsidRPr="00BD2FEB">
        <w:rPr>
          <w:lang w:eastAsia="en-GB"/>
        </w:rPr>
        <w:t>entrée en vigueur de la loi n</w:t>
      </w:r>
      <w:r w:rsidRPr="00BD2FEB">
        <w:rPr>
          <w:vertAlign w:val="superscript"/>
          <w:lang w:eastAsia="en-GB"/>
        </w:rPr>
        <w:t>o</w:t>
      </w:r>
      <w:r w:rsidRPr="00BD2FEB">
        <w:rPr>
          <w:lang w:eastAsia="en-GB"/>
        </w:rPr>
        <w:t xml:space="preserve"> 140 de 2004, et qu</w:t>
      </w:r>
      <w:r w:rsidR="0049029B">
        <w:rPr>
          <w:lang w:eastAsia="en-GB"/>
        </w:rPr>
        <w:t>’</w:t>
      </w:r>
      <w:r w:rsidRPr="00BD2FEB">
        <w:rPr>
          <w:lang w:eastAsia="en-GB"/>
        </w:rPr>
        <w:t>une procédure d</w:t>
      </w:r>
      <w:r w:rsidR="0049029B">
        <w:rPr>
          <w:lang w:eastAsia="en-GB"/>
        </w:rPr>
        <w:t>’</w:t>
      </w:r>
      <w:r w:rsidRPr="00BD2FEB">
        <w:rPr>
          <w:lang w:eastAsia="en-GB"/>
        </w:rPr>
        <w:t xml:space="preserve">exécution avait été entamée par le défunt le </w:t>
      </w:r>
      <w:r w:rsidRPr="00BD2FEB">
        <w:t>11 février 2002 (paragraphe 3 ci-dessus). La mairie de Bénévent a demandé la suspension de celle-ci le 15 janvier 2005 (paragraphe 8 ci-dessus). Par conséquent, à supposer même que les requérantes aient acquis la qualité de « victimes » des violations dénoncées seulement à cette dernière date, la point de départ du délai de six mois devrait, de to</w:t>
      </w:r>
      <w:r>
        <w:t>ute manière, être fixé en 2005.</w:t>
      </w:r>
    </w:p>
    <w:p w:rsidR="00BD2FEB" w:rsidRPr="00BD2FEB" w:rsidRDefault="00BD2FEB" w:rsidP="00BD2FEB">
      <w:pPr>
        <w:pStyle w:val="JuPara"/>
      </w:pPr>
      <w:r w:rsidRPr="00BD2FEB">
        <w:rPr>
          <w:lang w:eastAsia="en-GB"/>
        </w:rPr>
        <w:t xml:space="preserve">18.  La requête ayant été introduite le </w:t>
      </w:r>
      <w:r w:rsidRPr="00BD2FEB">
        <w:t>26 février 2009</w:t>
      </w:r>
      <w:r w:rsidRPr="00BD2FEB">
        <w:rPr>
          <w:lang w:eastAsia="en-GB"/>
        </w:rPr>
        <w:t>, il y a eu dépassement du délai de six mois prévu à l</w:t>
      </w:r>
      <w:r w:rsidR="0049029B">
        <w:rPr>
          <w:lang w:eastAsia="en-GB"/>
        </w:rPr>
        <w:t>’</w:t>
      </w:r>
      <w:r w:rsidRPr="00BD2FEB">
        <w:rPr>
          <w:lang w:eastAsia="en-GB"/>
        </w:rPr>
        <w:t>article 35 § 1 de la Convention.</w:t>
      </w:r>
    </w:p>
    <w:p w:rsidR="00BD2FEB" w:rsidRPr="00BD2FEB" w:rsidRDefault="00BD2FEB" w:rsidP="00BD2FEB">
      <w:pPr>
        <w:pStyle w:val="JuPara"/>
      </w:pPr>
      <w:r w:rsidRPr="00BD2FEB">
        <w:t>19.  Il s</w:t>
      </w:r>
      <w:r w:rsidR="0049029B">
        <w:t>’</w:t>
      </w:r>
      <w:r w:rsidRPr="00BD2FEB">
        <w:t>ensuit que la requête est tardive et doit être rejetée en application de l</w:t>
      </w:r>
      <w:r w:rsidR="0049029B">
        <w:t>’</w:t>
      </w:r>
      <w:r w:rsidRPr="00BD2FEB">
        <w:t>article 35 §§ 1 et 4 de la Convention.</w:t>
      </w:r>
    </w:p>
    <w:p w:rsidR="00BD2FEB" w:rsidRPr="00BD2FEB" w:rsidRDefault="00BD2FEB" w:rsidP="00BD2FEB">
      <w:pPr>
        <w:pStyle w:val="JuParaLast"/>
      </w:pPr>
      <w:r w:rsidRPr="00BD2FEB">
        <w:t>Par ces motifs, la Cour, à l</w:t>
      </w:r>
      <w:r w:rsidR="0049029B">
        <w:t>’</w:t>
      </w:r>
      <w:r w:rsidRPr="00BD2FEB">
        <w:t>unanimité,</w:t>
      </w:r>
    </w:p>
    <w:p w:rsidR="00BD2FEB" w:rsidRPr="00BD2FEB" w:rsidRDefault="00BD2FEB" w:rsidP="00BD2FEB">
      <w:pPr>
        <w:pStyle w:val="JuParaLast"/>
      </w:pPr>
      <w:r w:rsidRPr="00BD2FEB">
        <w:rPr>
          <w:i/>
        </w:rPr>
        <w:t xml:space="preserve">Déclare </w:t>
      </w:r>
      <w:r w:rsidRPr="00BD2FEB">
        <w:t>la requête irrecevable.</w:t>
      </w:r>
    </w:p>
    <w:p w:rsidR="00865E41" w:rsidRPr="00BD2FEB" w:rsidRDefault="00BD2FEB" w:rsidP="00F658A0">
      <w:pPr>
        <w:pStyle w:val="JuSigned"/>
        <w:rPr>
          <w:szCs w:val="24"/>
        </w:rPr>
      </w:pPr>
      <w:r w:rsidRPr="00BD2FEB">
        <w:tab/>
        <w:t>Stanley Naismith</w:t>
      </w:r>
      <w:r w:rsidR="00865E41" w:rsidRPr="00BD2FEB">
        <w:tab/>
      </w:r>
      <w:r w:rsidRPr="00BD2FEB">
        <w:t>Danutė Jočienė</w:t>
      </w:r>
      <w:r w:rsidR="00865E41" w:rsidRPr="00BD2FEB">
        <w:br/>
      </w:r>
      <w:r w:rsidR="00865E41" w:rsidRPr="00BD2FEB">
        <w:tab/>
      </w:r>
      <w:r w:rsidRPr="00BD2FEB">
        <w:rPr>
          <w:szCs w:val="24"/>
        </w:rPr>
        <w:t>Greffier</w:t>
      </w:r>
      <w:r w:rsidR="00865E41" w:rsidRPr="00BD2FEB">
        <w:tab/>
      </w:r>
      <w:r w:rsidRPr="00BD2FEB">
        <w:t>Présidente</w:t>
      </w:r>
    </w:p>
    <w:sectPr w:rsidR="00865E41" w:rsidRPr="00BD2FEB" w:rsidSect="0010023A">
      <w:headerReference w:type="even" r:id="rId10"/>
      <w:head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 w:code="9"/>
      <w:pgMar w:top="2274" w:right="2274" w:bottom="2274" w:left="2274" w:header="170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18" w:rsidRDefault="00B94F18">
      <w:r>
        <w:separator/>
      </w:r>
    </w:p>
  </w:endnote>
  <w:endnote w:type="continuationSeparator" w:id="0">
    <w:p w:rsidR="00B94F18" w:rsidRDefault="00B9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EB" w:rsidRPr="00BD2FEB" w:rsidRDefault="004D599F" w:rsidP="00A17F74">
    <w:pPr>
      <w:jc w:val="center"/>
    </w:pPr>
    <w:r>
      <w:rPr>
        <w:noProof/>
        <w:lang w:val="en-US" w:eastAsia="ja-JP"/>
      </w:rPr>
      <w:drawing>
        <wp:inline distT="0" distB="0" distL="0" distR="0">
          <wp:extent cx="684530" cy="419100"/>
          <wp:effectExtent l="0" t="0" r="0" b="0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3D0B23" w:rsidRDefault="00112D62" w:rsidP="003D0B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18" w:rsidRDefault="00B94F18">
      <w:r>
        <w:separator/>
      </w:r>
    </w:p>
  </w:footnote>
  <w:footnote w:type="continuationSeparator" w:id="0">
    <w:p w:rsidR="00B94F18" w:rsidRDefault="00B94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BD2FEB" w:rsidP="00A04C71">
    <w:pPr>
      <w:pStyle w:val="Header"/>
      <w:rPr>
        <w:lang w:val="en-US"/>
      </w:rPr>
    </w:pPr>
    <w:r>
      <w:rPr>
        <w:rStyle w:val="PageNumber"/>
        <w:lang w:val="en-US"/>
      </w:rPr>
      <w:fldChar w:fldCharType="begin"/>
    </w:r>
    <w:r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4D599F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  <w:r w:rsidR="00112D62" w:rsidRPr="00D83B17">
      <w:rPr>
        <w:lang w:val="en-US"/>
      </w:rPr>
      <w:tab/>
      <w:t xml:space="preserve">DÉCISION </w:t>
    </w:r>
    <w:r>
      <w:rPr>
        <w:lang w:val="en-US"/>
      </w:rPr>
      <w:t>VILLANI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D83B17" w:rsidRDefault="00112D62" w:rsidP="00A04C71">
    <w:pPr>
      <w:pStyle w:val="Header"/>
      <w:rPr>
        <w:lang w:val="en-US"/>
      </w:rPr>
    </w:pPr>
    <w:r>
      <w:tab/>
    </w:r>
    <w:r w:rsidRPr="00D83B17">
      <w:rPr>
        <w:lang w:val="en-US"/>
      </w:rPr>
      <w:t xml:space="preserve">DÉCISION </w:t>
    </w:r>
    <w:r w:rsidR="00BD2FEB">
      <w:rPr>
        <w:lang w:val="en-US"/>
      </w:rPr>
      <w:t>VILLANI c. ITALIE</w:t>
    </w:r>
    <w:r w:rsidRPr="00D83B17">
      <w:rPr>
        <w:lang w:val="en-US"/>
      </w:rPr>
      <w:tab/>
    </w:r>
    <w:r w:rsidR="00BD2FEB">
      <w:rPr>
        <w:rStyle w:val="PageNumber"/>
        <w:lang w:val="en-US"/>
      </w:rPr>
      <w:fldChar w:fldCharType="begin"/>
    </w:r>
    <w:r w:rsidR="00BD2FEB">
      <w:rPr>
        <w:rStyle w:val="PageNumber"/>
        <w:lang w:val="en-US"/>
      </w:rPr>
      <w:instrText xml:space="preserve"> PAGE </w:instrText>
    </w:r>
    <w:r w:rsidR="00BD2FEB">
      <w:rPr>
        <w:rStyle w:val="PageNumber"/>
        <w:lang w:val="en-US"/>
      </w:rPr>
      <w:fldChar w:fldCharType="separate"/>
    </w:r>
    <w:r w:rsidR="004D599F">
      <w:rPr>
        <w:rStyle w:val="PageNumber"/>
        <w:noProof/>
        <w:lang w:val="en-US"/>
      </w:rPr>
      <w:t>2</w:t>
    </w:r>
    <w:r w:rsidR="00BD2FEB">
      <w:rPr>
        <w:rStyle w:val="PageNumber"/>
        <w:lang w:val="en-US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EB" w:rsidRPr="00C00F0F" w:rsidRDefault="004D599F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ja-JP"/>
      </w:rPr>
      <w:drawing>
        <wp:inline distT="0" distB="0" distL="0" distR="0">
          <wp:extent cx="4097020" cy="2086610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208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Default="00112D62" w:rsidP="00FA22C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D789C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BE6CBD"/>
    <w:multiLevelType w:val="hybridMultilevel"/>
    <w:tmpl w:val="5B122094"/>
    <w:lvl w:ilvl="0" w:tplc="4FDAD2AA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1"/>
    <w:docVar w:name="SignForeName" w:val="0"/>
  </w:docVars>
  <w:rsids>
    <w:rsidRoot w:val="00BD2FEB"/>
    <w:rsid w:val="00023136"/>
    <w:rsid w:val="00032F1D"/>
    <w:rsid w:val="00065108"/>
    <w:rsid w:val="000776E7"/>
    <w:rsid w:val="000903DC"/>
    <w:rsid w:val="00090C1A"/>
    <w:rsid w:val="000A1401"/>
    <w:rsid w:val="000F6A08"/>
    <w:rsid w:val="0010023A"/>
    <w:rsid w:val="00107930"/>
    <w:rsid w:val="00112D62"/>
    <w:rsid w:val="0011604E"/>
    <w:rsid w:val="00154F16"/>
    <w:rsid w:val="00172736"/>
    <w:rsid w:val="001D1FA9"/>
    <w:rsid w:val="00200248"/>
    <w:rsid w:val="00203AD0"/>
    <w:rsid w:val="00205AA5"/>
    <w:rsid w:val="002118F8"/>
    <w:rsid w:val="00226A7D"/>
    <w:rsid w:val="002532BA"/>
    <w:rsid w:val="00255060"/>
    <w:rsid w:val="0027093D"/>
    <w:rsid w:val="002712D0"/>
    <w:rsid w:val="002770EA"/>
    <w:rsid w:val="0028619D"/>
    <w:rsid w:val="002D6308"/>
    <w:rsid w:val="002E7061"/>
    <w:rsid w:val="00310822"/>
    <w:rsid w:val="0031317E"/>
    <w:rsid w:val="0032205F"/>
    <w:rsid w:val="0034473C"/>
    <w:rsid w:val="003654FB"/>
    <w:rsid w:val="00381261"/>
    <w:rsid w:val="00385AD6"/>
    <w:rsid w:val="003B16FB"/>
    <w:rsid w:val="003C22C1"/>
    <w:rsid w:val="003C36F5"/>
    <w:rsid w:val="003D0B23"/>
    <w:rsid w:val="003D49AA"/>
    <w:rsid w:val="003F25B2"/>
    <w:rsid w:val="00400961"/>
    <w:rsid w:val="00407DAE"/>
    <w:rsid w:val="00420AA8"/>
    <w:rsid w:val="0049029B"/>
    <w:rsid w:val="00493AB0"/>
    <w:rsid w:val="00493E46"/>
    <w:rsid w:val="004A3858"/>
    <w:rsid w:val="004B31F3"/>
    <w:rsid w:val="004D599F"/>
    <w:rsid w:val="005037AE"/>
    <w:rsid w:val="005A42E8"/>
    <w:rsid w:val="005B6C5B"/>
    <w:rsid w:val="00633392"/>
    <w:rsid w:val="00684F0E"/>
    <w:rsid w:val="006A2B72"/>
    <w:rsid w:val="006A7B93"/>
    <w:rsid w:val="006E27C0"/>
    <w:rsid w:val="007651AE"/>
    <w:rsid w:val="007A309B"/>
    <w:rsid w:val="007D76BA"/>
    <w:rsid w:val="007F129C"/>
    <w:rsid w:val="00801124"/>
    <w:rsid w:val="00803C18"/>
    <w:rsid w:val="008136EC"/>
    <w:rsid w:val="00832AA9"/>
    <w:rsid w:val="00844B64"/>
    <w:rsid w:val="008579EB"/>
    <w:rsid w:val="00865E41"/>
    <w:rsid w:val="00874A8F"/>
    <w:rsid w:val="00875B0A"/>
    <w:rsid w:val="008E63DB"/>
    <w:rsid w:val="00927DD4"/>
    <w:rsid w:val="009730E8"/>
    <w:rsid w:val="00984EA3"/>
    <w:rsid w:val="009927A5"/>
    <w:rsid w:val="009B224F"/>
    <w:rsid w:val="009B451E"/>
    <w:rsid w:val="009B5280"/>
    <w:rsid w:val="00A04C71"/>
    <w:rsid w:val="00A144FE"/>
    <w:rsid w:val="00A17F74"/>
    <w:rsid w:val="00A17FA0"/>
    <w:rsid w:val="00A94C68"/>
    <w:rsid w:val="00A95342"/>
    <w:rsid w:val="00AA7712"/>
    <w:rsid w:val="00AC51AB"/>
    <w:rsid w:val="00B1214B"/>
    <w:rsid w:val="00B32A42"/>
    <w:rsid w:val="00B43BED"/>
    <w:rsid w:val="00B5195D"/>
    <w:rsid w:val="00B82A8F"/>
    <w:rsid w:val="00B94F18"/>
    <w:rsid w:val="00BB340A"/>
    <w:rsid w:val="00BD2FEB"/>
    <w:rsid w:val="00BF1267"/>
    <w:rsid w:val="00BF2FDC"/>
    <w:rsid w:val="00C92045"/>
    <w:rsid w:val="00CC7EC4"/>
    <w:rsid w:val="00D25AE8"/>
    <w:rsid w:val="00D83B17"/>
    <w:rsid w:val="00DA7E94"/>
    <w:rsid w:val="00DB28B4"/>
    <w:rsid w:val="00DB5EE7"/>
    <w:rsid w:val="00DC44E5"/>
    <w:rsid w:val="00DD2564"/>
    <w:rsid w:val="00E6776A"/>
    <w:rsid w:val="00EB6E07"/>
    <w:rsid w:val="00EC49B5"/>
    <w:rsid w:val="00ED11F0"/>
    <w:rsid w:val="00EE39D3"/>
    <w:rsid w:val="00F12B8E"/>
    <w:rsid w:val="00F275F4"/>
    <w:rsid w:val="00F658A0"/>
    <w:rsid w:val="00F706B5"/>
    <w:rsid w:val="00F9710C"/>
    <w:rsid w:val="00FA22CA"/>
    <w:rsid w:val="00FA5B45"/>
    <w:rsid w:val="00FD6C5C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basedOn w:val="NormalTimesNewRoman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link w:val="JuParaLastChar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ParaLastChar">
    <w:name w:val="Ju_Para_Last Char"/>
    <w:link w:val="JuParaLast"/>
    <w:rsid w:val="00BD2FEB"/>
    <w:rPr>
      <w:sz w:val="24"/>
      <w:lang w:val="fr-FR" w:eastAsia="fr-FR"/>
    </w:rPr>
  </w:style>
  <w:style w:type="character" w:customStyle="1" w:styleId="sb8d990e2">
    <w:name w:val="sb8d990e2"/>
    <w:basedOn w:val="DefaultParagraphFont"/>
    <w:rsid w:val="00BD2FEB"/>
  </w:style>
  <w:style w:type="character" w:customStyle="1" w:styleId="s6b621b36">
    <w:name w:val="s6b621b36"/>
    <w:basedOn w:val="DefaultParagraphFont"/>
    <w:rsid w:val="00BD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42E8"/>
    <w:pPr>
      <w:suppressAutoHyphens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rsid w:val="005A42E8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A42E8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A42E8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  <w:rsid w:val="005A42E8"/>
  </w:style>
  <w:style w:type="table" w:default="1" w:styleId="TableNormal">
    <w:name w:val="Normal Table"/>
    <w:semiHidden/>
    <w:rsid w:val="005A42E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A42E8"/>
  </w:style>
  <w:style w:type="paragraph" w:styleId="Header">
    <w:name w:val="head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paragraph" w:styleId="FootnoteText">
    <w:name w:val="footnote text"/>
    <w:basedOn w:val="Normal"/>
    <w:semiHidden/>
    <w:rsid w:val="000903DC"/>
    <w:pPr>
      <w:jc w:val="both"/>
    </w:pPr>
    <w:rPr>
      <w:sz w:val="20"/>
    </w:rPr>
  </w:style>
  <w:style w:type="paragraph" w:styleId="Footer">
    <w:name w:val="footer"/>
    <w:basedOn w:val="Normal"/>
    <w:rsid w:val="000903DC"/>
    <w:pPr>
      <w:tabs>
        <w:tab w:val="center" w:pos="3686"/>
        <w:tab w:val="right" w:pos="7371"/>
      </w:tabs>
    </w:pPr>
    <w:rPr>
      <w:sz w:val="18"/>
    </w:rPr>
  </w:style>
  <w:style w:type="character" w:styleId="PageNumber">
    <w:name w:val="page number"/>
    <w:rsid w:val="000903DC"/>
    <w:rPr>
      <w:rFonts w:ascii="Times New Roman" w:hAnsi="Times New Roman" w:cs="Times New Roman"/>
      <w:sz w:val="18"/>
    </w:rPr>
  </w:style>
  <w:style w:type="paragraph" w:customStyle="1" w:styleId="JuParaChar">
    <w:name w:val="Ju_Para Char"/>
    <w:basedOn w:val="Normal"/>
    <w:link w:val="JuParaCharChar"/>
    <w:rsid w:val="005A42E8"/>
    <w:pPr>
      <w:ind w:firstLine="284"/>
      <w:jc w:val="both"/>
    </w:pPr>
  </w:style>
  <w:style w:type="character" w:customStyle="1" w:styleId="JuParaCharChar">
    <w:name w:val="Ju_Para Char Char"/>
    <w:link w:val="JuParaChar"/>
    <w:rsid w:val="00226A7D"/>
    <w:rPr>
      <w:sz w:val="24"/>
      <w:lang w:val="fr-FR" w:eastAsia="fr-FR" w:bidi="ar-SA"/>
    </w:rPr>
  </w:style>
  <w:style w:type="character" w:styleId="FootnoteReference">
    <w:name w:val="footnote reference"/>
    <w:semiHidden/>
    <w:rsid w:val="000903DC"/>
    <w:rPr>
      <w:rFonts w:ascii="Times New Roman" w:hAnsi="Times New Roman" w:cs="Times New Roman"/>
      <w:vertAlign w:val="superscript"/>
    </w:rPr>
  </w:style>
  <w:style w:type="paragraph" w:customStyle="1" w:styleId="JuCase">
    <w:name w:val="Ju_Case"/>
    <w:basedOn w:val="JuPara"/>
    <w:next w:val="JuPara"/>
    <w:rsid w:val="000903DC"/>
    <w:rPr>
      <w:b/>
    </w:rPr>
  </w:style>
  <w:style w:type="paragraph" w:customStyle="1" w:styleId="JuPara">
    <w:name w:val="Ju_Para"/>
    <w:basedOn w:val="NormalTimesNewRoman"/>
    <w:rsid w:val="000903DC"/>
    <w:pPr>
      <w:ind w:firstLine="284"/>
      <w:jc w:val="both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Judges">
    <w:name w:val="Ju_Judges"/>
    <w:basedOn w:val="NormalTimesNewRoman"/>
    <w:rsid w:val="000903DC"/>
    <w:pPr>
      <w:tabs>
        <w:tab w:val="left" w:pos="567"/>
        <w:tab w:val="left" w:pos="1134"/>
      </w:tabs>
    </w:pPr>
  </w:style>
  <w:style w:type="paragraph" w:customStyle="1" w:styleId="JuCourt">
    <w:name w:val="Ju_Court"/>
    <w:basedOn w:val="JuJudges"/>
    <w:rsid w:val="000903DC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Head">
    <w:name w:val="Ju_H_Head"/>
    <w:basedOn w:val="NormalTimesNewRoman"/>
    <w:next w:val="JuPara"/>
    <w:link w:val="JuHHeadChar"/>
    <w:rsid w:val="000903DC"/>
    <w:pPr>
      <w:keepNext/>
      <w:keepLines/>
      <w:spacing w:before="720" w:after="240"/>
      <w:jc w:val="both"/>
      <w:outlineLvl w:val="0"/>
    </w:pPr>
    <w:rPr>
      <w:sz w:val="28"/>
    </w:rPr>
  </w:style>
  <w:style w:type="paragraph" w:customStyle="1" w:styleId="JuHIRoman">
    <w:name w:val="Ju_H_I_Roman"/>
    <w:basedOn w:val="JuHHead"/>
    <w:next w:val="JuPara"/>
    <w:rsid w:val="000903DC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A">
    <w:name w:val="Ju_H_A"/>
    <w:basedOn w:val="JuHIRoman"/>
    <w:next w:val="JuPara"/>
    <w:rsid w:val="000903DC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Ha0">
    <w:name w:val="Ju_H_a"/>
    <w:basedOn w:val="JuH1"/>
    <w:next w:val="JuPara"/>
    <w:rsid w:val="000903DC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rsid w:val="000903DC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Hi">
    <w:name w:val="Ju_H_i"/>
    <w:basedOn w:val="JuHa0"/>
    <w:next w:val="JuPara"/>
    <w:rsid w:val="000903DC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customStyle="1" w:styleId="JuHalpha">
    <w:name w:val="Ju_H_alpha"/>
    <w:basedOn w:val="JuHi"/>
    <w:next w:val="JuPara"/>
    <w:rsid w:val="000903DC"/>
    <w:pPr>
      <w:tabs>
        <w:tab w:val="clear" w:pos="1191"/>
        <w:tab w:val="left" w:pos="1372"/>
      </w:tabs>
      <w:ind w:left="1373" w:hanging="335"/>
      <w:outlineLvl w:val="9"/>
    </w:pPr>
    <w:rPr>
      <w:i w:val="0"/>
    </w:rPr>
  </w:style>
  <w:style w:type="paragraph" w:customStyle="1" w:styleId="JuH">
    <w:name w:val="Ju_H_–"/>
    <w:basedOn w:val="JuHalpha"/>
    <w:next w:val="JuPara"/>
    <w:rsid w:val="000903DC"/>
    <w:pPr>
      <w:tabs>
        <w:tab w:val="clear" w:pos="1372"/>
      </w:tabs>
      <w:ind w:left="1236" w:firstLine="0"/>
    </w:pPr>
    <w:rPr>
      <w:i/>
    </w:rPr>
  </w:style>
  <w:style w:type="paragraph" w:customStyle="1" w:styleId="JuHArticle">
    <w:name w:val="Ju_H_Article"/>
    <w:basedOn w:val="JuHa0"/>
    <w:next w:val="JuQuot"/>
    <w:rsid w:val="000903DC"/>
    <w:pPr>
      <w:ind w:left="0" w:firstLine="0"/>
      <w:jc w:val="center"/>
    </w:pPr>
  </w:style>
  <w:style w:type="paragraph" w:customStyle="1" w:styleId="JuQuot">
    <w:name w:val="Ju_Quot"/>
    <w:basedOn w:val="JuPara"/>
    <w:rsid w:val="000903DC"/>
    <w:pPr>
      <w:spacing w:before="120" w:after="120"/>
      <w:ind w:left="425" w:firstLine="142"/>
    </w:pPr>
    <w:rPr>
      <w:sz w:val="20"/>
    </w:rPr>
  </w:style>
  <w:style w:type="paragraph" w:customStyle="1" w:styleId="JuHeader">
    <w:name w:val="Ju_Header"/>
    <w:basedOn w:val="Header"/>
    <w:rsid w:val="000903DC"/>
  </w:style>
  <w:style w:type="paragraph" w:customStyle="1" w:styleId="JuSigned">
    <w:name w:val="Ju_Signed"/>
    <w:basedOn w:val="NormalTimesNewRoman"/>
    <w:next w:val="JuParaLast"/>
    <w:rsid w:val="000903DC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link w:val="JuParaLastChar"/>
    <w:rsid w:val="000903DC"/>
    <w:pPr>
      <w:keepNext/>
      <w:keepLines/>
      <w:spacing w:before="240"/>
    </w:pPr>
  </w:style>
  <w:style w:type="paragraph" w:customStyle="1" w:styleId="JuInitialled">
    <w:name w:val="Ju_Initialled"/>
    <w:basedOn w:val="JuSigned"/>
    <w:rsid w:val="000903DC"/>
    <w:pPr>
      <w:tabs>
        <w:tab w:val="clear" w:pos="851"/>
      </w:tabs>
      <w:jc w:val="right"/>
    </w:pPr>
  </w:style>
  <w:style w:type="paragraph" w:customStyle="1" w:styleId="JuList">
    <w:name w:val="Ju_List"/>
    <w:basedOn w:val="JuPara"/>
    <w:rsid w:val="000903DC"/>
    <w:pPr>
      <w:ind w:left="340" w:hanging="340"/>
    </w:pPr>
  </w:style>
  <w:style w:type="paragraph" w:customStyle="1" w:styleId="JuLista">
    <w:name w:val="Ju_List_a"/>
    <w:basedOn w:val="JuList"/>
    <w:rsid w:val="000903DC"/>
    <w:pPr>
      <w:ind w:left="346" w:firstLine="0"/>
    </w:pPr>
  </w:style>
  <w:style w:type="paragraph" w:customStyle="1" w:styleId="JuListi">
    <w:name w:val="Ju_List_i"/>
    <w:basedOn w:val="JuLista"/>
    <w:rsid w:val="000903DC"/>
    <w:pPr>
      <w:ind w:left="794"/>
    </w:pPr>
  </w:style>
  <w:style w:type="paragraph" w:styleId="DocumentMap">
    <w:name w:val="Document Map"/>
    <w:basedOn w:val="Normal"/>
    <w:semiHidden/>
    <w:rsid w:val="0011604E"/>
    <w:pPr>
      <w:shd w:val="clear" w:color="auto" w:fill="000080"/>
    </w:pPr>
    <w:rPr>
      <w:rFonts w:ascii="Tahoma" w:hAnsi="Tahoma" w:cs="Tahoma"/>
      <w:sz w:val="20"/>
    </w:rPr>
  </w:style>
  <w:style w:type="paragraph" w:customStyle="1" w:styleId="OpiParaSub">
    <w:name w:val="Opi_Para_Sub"/>
    <w:basedOn w:val="JuParaSub"/>
    <w:rsid w:val="00A95342"/>
  </w:style>
  <w:style w:type="paragraph" w:customStyle="1" w:styleId="JuParaSub">
    <w:name w:val="Ju_Para_Sub"/>
    <w:basedOn w:val="JuPara"/>
    <w:rsid w:val="000903DC"/>
    <w:pPr>
      <w:ind w:left="284"/>
    </w:pPr>
  </w:style>
  <w:style w:type="paragraph" w:customStyle="1" w:styleId="OpiHA">
    <w:name w:val="Opi_H_A"/>
    <w:basedOn w:val="JuHIRoman"/>
    <w:next w:val="OpiPara"/>
    <w:rsid w:val="00A95342"/>
    <w:pPr>
      <w:tabs>
        <w:tab w:val="clear" w:pos="357"/>
      </w:tabs>
    </w:pPr>
    <w:rPr>
      <w:b/>
    </w:rPr>
  </w:style>
  <w:style w:type="paragraph" w:customStyle="1" w:styleId="OpiPara">
    <w:name w:val="Opi_Para"/>
    <w:basedOn w:val="JuPara"/>
    <w:rsid w:val="00A95342"/>
  </w:style>
  <w:style w:type="paragraph" w:customStyle="1" w:styleId="OpiH1">
    <w:name w:val="Opi_H_1."/>
    <w:basedOn w:val="OpiHA"/>
    <w:next w:val="OpiPara"/>
    <w:rsid w:val="00A95342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rsid w:val="00A95342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rsid w:val="00A95342"/>
    <w:pPr>
      <w:spacing w:before="0"/>
      <w:jc w:val="center"/>
    </w:pPr>
  </w:style>
  <w:style w:type="paragraph" w:customStyle="1" w:styleId="OpiHi">
    <w:name w:val="Opi_H_i"/>
    <w:basedOn w:val="OpiHa0"/>
    <w:next w:val="OpiPara"/>
    <w:rsid w:val="00A95342"/>
    <w:pPr>
      <w:ind w:left="1037"/>
      <w:outlineLvl w:val="4"/>
    </w:pPr>
    <w:rPr>
      <w:b w:val="0"/>
      <w:i/>
    </w:rPr>
  </w:style>
  <w:style w:type="paragraph" w:customStyle="1" w:styleId="OpiQuot">
    <w:name w:val="Opi_Quot"/>
    <w:basedOn w:val="JuQuot"/>
    <w:rsid w:val="00A95342"/>
  </w:style>
  <w:style w:type="paragraph" w:customStyle="1" w:styleId="OpiTranslation">
    <w:name w:val="Opi_Translation"/>
    <w:basedOn w:val="OpiHHead"/>
    <w:next w:val="OpiPara"/>
    <w:rsid w:val="00A95342"/>
    <w:rPr>
      <w:i/>
      <w:sz w:val="24"/>
    </w:rPr>
  </w:style>
  <w:style w:type="paragraph" w:customStyle="1" w:styleId="DecHTitle">
    <w:name w:val="Dec_H_Title"/>
    <w:basedOn w:val="Normal"/>
    <w:rsid w:val="0027093D"/>
    <w:pPr>
      <w:suppressAutoHyphens w:val="0"/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rsid w:val="00A95342"/>
    <w:rPr>
      <w:sz w:val="24"/>
    </w:rPr>
  </w:style>
  <w:style w:type="paragraph" w:customStyle="1" w:styleId="DecList">
    <w:name w:val="Dec_List"/>
    <w:basedOn w:val="Normal"/>
    <w:rsid w:val="0027093D"/>
    <w:pPr>
      <w:spacing w:before="240"/>
      <w:ind w:left="284"/>
      <w:jc w:val="both"/>
    </w:pPr>
  </w:style>
  <w:style w:type="paragraph" w:customStyle="1" w:styleId="JuQuotSub">
    <w:name w:val="Ju_Quot_Sub"/>
    <w:basedOn w:val="JuQuot"/>
    <w:rsid w:val="000903DC"/>
    <w:pPr>
      <w:ind w:left="567"/>
    </w:pPr>
  </w:style>
  <w:style w:type="paragraph" w:customStyle="1" w:styleId="SuCoverTitle1">
    <w:name w:val="Su_Cover_Title1"/>
    <w:basedOn w:val="Normal"/>
    <w:next w:val="SuCoverTitle2"/>
    <w:rsid w:val="0027093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rsid w:val="001D1FA9"/>
    <w:pPr>
      <w:spacing w:before="240"/>
    </w:pPr>
    <w:rPr>
      <w:sz w:val="18"/>
    </w:rPr>
  </w:style>
  <w:style w:type="paragraph" w:customStyle="1" w:styleId="SuPara">
    <w:name w:val="Su_Para"/>
    <w:basedOn w:val="SuKeywords"/>
    <w:rsid w:val="001D1FA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rsid w:val="001D1FA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rsid w:val="001D1FA9"/>
    <w:pPr>
      <w:spacing w:after="120"/>
    </w:pPr>
  </w:style>
  <w:style w:type="paragraph" w:customStyle="1" w:styleId="SuSubject">
    <w:name w:val="Su_Subject"/>
    <w:basedOn w:val="SuSummary"/>
    <w:rsid w:val="001D1FA9"/>
    <w:pPr>
      <w:suppressAutoHyphens w:val="0"/>
      <w:spacing w:before="360"/>
      <w:jc w:val="both"/>
    </w:pPr>
    <w:rPr>
      <w:b/>
      <w:sz w:val="22"/>
      <w:lang w:val="en-GB"/>
    </w:rPr>
  </w:style>
  <w:style w:type="paragraph" w:customStyle="1" w:styleId="SuSummary">
    <w:name w:val="Su_Summary"/>
    <w:basedOn w:val="Normal"/>
    <w:next w:val="SuSubject"/>
    <w:rsid w:val="0027093D"/>
    <w:pPr>
      <w:spacing w:after="240"/>
      <w:jc w:val="center"/>
    </w:pPr>
  </w:style>
  <w:style w:type="paragraph" w:styleId="BalloonText">
    <w:name w:val="Balloon Text"/>
    <w:basedOn w:val="Normal"/>
    <w:semiHidden/>
    <w:rsid w:val="002712D0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0903DC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semiHidden/>
    <w:rsid w:val="000903DC"/>
    <w:rPr>
      <w:sz w:val="20"/>
    </w:rPr>
  </w:style>
  <w:style w:type="character" w:styleId="FollowedHyperlink">
    <w:name w:val="FollowedHyperlink"/>
    <w:rsid w:val="000903DC"/>
    <w:rPr>
      <w:rFonts w:ascii="Times New Roman" w:hAnsi="Times New Roman" w:cs="Times New Roman"/>
      <w:color w:val="800080"/>
      <w:u w:val="single"/>
    </w:rPr>
  </w:style>
  <w:style w:type="character" w:styleId="Hyperlink">
    <w:name w:val="Hyperlink"/>
    <w:rsid w:val="000903DC"/>
    <w:rPr>
      <w:rFonts w:ascii="Times New Roman" w:hAnsi="Times New Roman" w:cs="Times New Roman"/>
      <w:color w:val="0000FF"/>
      <w:u w:val="single"/>
    </w:rPr>
  </w:style>
  <w:style w:type="paragraph" w:customStyle="1" w:styleId="OpiQuotSub">
    <w:name w:val="Opi_Quot_Sub"/>
    <w:basedOn w:val="JuQuotSub"/>
    <w:rsid w:val="00A95342"/>
  </w:style>
  <w:style w:type="paragraph" w:customStyle="1" w:styleId="JuAppQuestion">
    <w:name w:val="Ju_App_Question"/>
    <w:basedOn w:val="ListBullet"/>
    <w:rsid w:val="000903DC"/>
    <w:pPr>
      <w:numPr>
        <w:numId w:val="4"/>
      </w:numPr>
      <w:suppressAutoHyphens w:val="0"/>
    </w:pPr>
    <w:rPr>
      <w:b/>
      <w:color w:val="333333"/>
      <w:lang w:val="en-GB"/>
    </w:rPr>
  </w:style>
  <w:style w:type="paragraph" w:styleId="ListBullet">
    <w:name w:val="List Bullet"/>
    <w:basedOn w:val="Normal"/>
    <w:rsid w:val="001D1FA9"/>
    <w:pPr>
      <w:numPr>
        <w:numId w:val="1"/>
      </w:numPr>
    </w:pPr>
  </w:style>
  <w:style w:type="character" w:customStyle="1" w:styleId="JuNames">
    <w:name w:val="Ju_Names"/>
    <w:rsid w:val="000903DC"/>
    <w:rPr>
      <w:rFonts w:ascii="Times New Roman" w:hAnsi="Times New Roman" w:cs="Times New Roman"/>
      <w:smallCaps/>
    </w:rPr>
  </w:style>
  <w:style w:type="character" w:customStyle="1" w:styleId="JuITMark">
    <w:name w:val="Ju_ITMark"/>
    <w:rsid w:val="000903DC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character" w:customStyle="1" w:styleId="JuHHeadChar">
    <w:name w:val="Ju_H_Head Char"/>
    <w:link w:val="JuHHead"/>
    <w:rsid w:val="002E7061"/>
    <w:rPr>
      <w:sz w:val="28"/>
      <w:lang w:val="fr-FR" w:eastAsia="fr-FR" w:bidi="ar-SA"/>
    </w:rPr>
  </w:style>
  <w:style w:type="character" w:customStyle="1" w:styleId="DefaultTimesNewRoman">
    <w:name w:val="Default_TimesNewRoman"/>
    <w:rsid w:val="000903DC"/>
    <w:rPr>
      <w:rFonts w:ascii="Times New Roman" w:hAnsi="Times New Roman" w:cs="Times New Roman"/>
    </w:rPr>
  </w:style>
  <w:style w:type="paragraph" w:customStyle="1" w:styleId="NormalTimesNewRoman">
    <w:name w:val="Normal_TimesNewRoman"/>
    <w:rsid w:val="000903DC"/>
    <w:rPr>
      <w:sz w:val="24"/>
      <w:lang w:val="fr-FR" w:eastAsia="fr-FR"/>
    </w:rPr>
  </w:style>
  <w:style w:type="paragraph" w:customStyle="1" w:styleId="JuTitle">
    <w:name w:val="Ju_Title"/>
    <w:basedOn w:val="JuHHead"/>
    <w:next w:val="JuPara"/>
    <w:link w:val="JuTitleChar"/>
    <w:rsid w:val="000903DC"/>
    <w:pPr>
      <w:jc w:val="center"/>
    </w:pPr>
    <w:rPr>
      <w:b/>
      <w:caps/>
      <w:sz w:val="24"/>
      <w:szCs w:val="24"/>
      <w:u w:val="single"/>
    </w:rPr>
  </w:style>
  <w:style w:type="character" w:customStyle="1" w:styleId="JuTitleChar">
    <w:name w:val="Ju_Title Char"/>
    <w:link w:val="JuTitle"/>
    <w:rsid w:val="00407DAE"/>
    <w:rPr>
      <w:b/>
      <w:caps/>
      <w:sz w:val="24"/>
      <w:szCs w:val="24"/>
      <w:u w:val="single"/>
      <w:lang w:val="fr-FR" w:eastAsia="fr-FR" w:bidi="ar-SA"/>
    </w:rPr>
  </w:style>
  <w:style w:type="character" w:customStyle="1" w:styleId="JuParaLastChar">
    <w:name w:val="Ju_Para_Last Char"/>
    <w:link w:val="JuParaLast"/>
    <w:rsid w:val="00BD2FEB"/>
    <w:rPr>
      <w:sz w:val="24"/>
      <w:lang w:val="fr-FR" w:eastAsia="fr-FR"/>
    </w:rPr>
  </w:style>
  <w:style w:type="character" w:customStyle="1" w:styleId="sb8d990e2">
    <w:name w:val="sb8d990e2"/>
    <w:basedOn w:val="DefaultParagraphFont"/>
    <w:rsid w:val="00BD2FEB"/>
  </w:style>
  <w:style w:type="character" w:customStyle="1" w:styleId="s6b621b36">
    <w:name w:val="s6b621b36"/>
    <w:basedOn w:val="DefaultParagraphFont"/>
    <w:rsid w:val="00BD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DF627-4139-4612-9342-58C50A809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CA25AE-E046-4DB5-95EC-80C318E65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keywords/>
  <cp:lastModifiedBy/>
  <cp:revision>1</cp:revision>
  <cp:lastPrinted>2005-12-21T06:57:00Z</cp:lastPrinted>
  <dcterms:created xsi:type="dcterms:W3CDTF">2013-06-11T07:01:00Z</dcterms:created>
  <dcterms:modified xsi:type="dcterms:W3CDTF">2013-06-11T07:01:00Z</dcterms:modified>
  <cp:category>ECHR Template</cp:category>
</cp:coreProperties>
</file>